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428" w:rsidRPr="00AD5BB6" w:rsidRDefault="00657428" w:rsidP="00657428">
      <w:pPr>
        <w:jc w:val="center"/>
        <w:rPr>
          <w:rFonts w:ascii="Times New Roman" w:hAnsi="Times New Roman" w:cs="Times New Roman"/>
          <w:b/>
          <w:sz w:val="24"/>
          <w:szCs w:val="24"/>
        </w:rPr>
      </w:pPr>
      <w:r w:rsidRPr="00AD5BB6">
        <w:rPr>
          <w:rFonts w:ascii="Times New Roman" w:hAnsi="Times New Roman" w:cs="Times New Roman"/>
          <w:b/>
          <w:sz w:val="24"/>
          <w:szCs w:val="24"/>
          <w:u w:val="single"/>
        </w:rPr>
        <w:t>A pályázatot ismertető kiadványhoz szükséges alapadatok és kiegészítő információk</w:t>
      </w:r>
    </w:p>
    <w:p w:rsidR="00657428" w:rsidRPr="00AD5BB6" w:rsidRDefault="00657428" w:rsidP="00657428">
      <w:pPr>
        <w:ind w:left="426"/>
        <w:jc w:val="center"/>
        <w:rPr>
          <w:rFonts w:ascii="Times New Roman" w:hAnsi="Times New Roman" w:cs="Times New Roman"/>
          <w:b/>
          <w:sz w:val="24"/>
          <w:szCs w:val="24"/>
          <w:u w:val="single"/>
        </w:rPr>
      </w:pPr>
      <w:proofErr w:type="spellStart"/>
      <w:r w:rsidRPr="00AD5BB6">
        <w:rPr>
          <w:rFonts w:ascii="Times New Roman" w:hAnsi="Times New Roman" w:cs="Times New Roman"/>
          <w:b/>
          <w:sz w:val="24"/>
          <w:szCs w:val="24"/>
          <w:u w:val="single"/>
        </w:rPr>
        <w:t>word</w:t>
      </w:r>
      <w:proofErr w:type="spellEnd"/>
      <w:r w:rsidRPr="00AD5BB6">
        <w:rPr>
          <w:rFonts w:ascii="Times New Roman" w:hAnsi="Times New Roman" w:cs="Times New Roman"/>
          <w:b/>
          <w:sz w:val="24"/>
          <w:szCs w:val="24"/>
          <w:u w:val="single"/>
        </w:rPr>
        <w:t xml:space="preserve"> formátumban </w:t>
      </w:r>
    </w:p>
    <w:p w:rsidR="00657428" w:rsidRPr="00AD5BB6" w:rsidRDefault="00657428" w:rsidP="00657428">
      <w:pPr>
        <w:ind w:left="426"/>
        <w:rPr>
          <w:rFonts w:ascii="Times New Roman" w:hAnsi="Times New Roman" w:cs="Times New Roman"/>
          <w:b/>
          <w:color w:val="FF0000"/>
          <w:sz w:val="24"/>
          <w:szCs w:val="24"/>
          <w:u w:val="single"/>
        </w:rPr>
      </w:pPr>
    </w:p>
    <w:p w:rsidR="00657428" w:rsidRPr="00AD5BB6" w:rsidRDefault="00657428" w:rsidP="00754F7D">
      <w:pPr>
        <w:spacing w:line="360" w:lineRule="auto"/>
        <w:ind w:left="426"/>
        <w:rPr>
          <w:rFonts w:ascii="Times New Roman" w:hAnsi="Times New Roman" w:cs="Times New Roman"/>
          <w:b/>
          <w:color w:val="FF0000"/>
          <w:sz w:val="24"/>
          <w:szCs w:val="24"/>
          <w:u w:val="single"/>
        </w:rPr>
      </w:pPr>
    </w:p>
    <w:p w:rsidR="00657428" w:rsidRPr="00AD5BB6" w:rsidRDefault="00657428" w:rsidP="00754F7D">
      <w:pPr>
        <w:spacing w:line="360" w:lineRule="auto"/>
        <w:ind w:left="426"/>
        <w:rPr>
          <w:rFonts w:ascii="Times New Roman" w:hAnsi="Times New Roman" w:cs="Times New Roman"/>
          <w:b/>
          <w:sz w:val="24"/>
          <w:szCs w:val="24"/>
        </w:rPr>
      </w:pPr>
      <w:r w:rsidRPr="00AD5BB6">
        <w:rPr>
          <w:rFonts w:ascii="Times New Roman" w:hAnsi="Times New Roman" w:cs="Times New Roman"/>
          <w:b/>
          <w:sz w:val="24"/>
          <w:szCs w:val="24"/>
        </w:rPr>
        <w:t xml:space="preserve">Pályamű elnevezése és címe: </w:t>
      </w:r>
    </w:p>
    <w:p w:rsidR="00657428" w:rsidRPr="00AD5BB6" w:rsidRDefault="00657428" w:rsidP="00754F7D">
      <w:pPr>
        <w:spacing w:line="360" w:lineRule="auto"/>
        <w:ind w:left="426"/>
        <w:rPr>
          <w:rFonts w:ascii="Times New Roman" w:hAnsi="Times New Roman" w:cs="Times New Roman"/>
          <w:b/>
          <w:sz w:val="24"/>
          <w:szCs w:val="24"/>
        </w:rPr>
      </w:pPr>
      <w:r w:rsidRPr="00AD5BB6">
        <w:rPr>
          <w:rFonts w:ascii="Times New Roman" w:hAnsi="Times New Roman" w:cs="Times New Roman"/>
          <w:b/>
          <w:sz w:val="24"/>
          <w:szCs w:val="24"/>
        </w:rPr>
        <w:t>Törökbálint Városháza, 2045 Törökbálint, Munkácsy Mihály u. 79.</w:t>
      </w:r>
    </w:p>
    <w:p w:rsidR="00657428" w:rsidRPr="00AD5BB6" w:rsidRDefault="00657428" w:rsidP="00754F7D">
      <w:pPr>
        <w:spacing w:line="360" w:lineRule="auto"/>
        <w:ind w:left="426"/>
        <w:rPr>
          <w:rFonts w:ascii="Times New Roman" w:hAnsi="Times New Roman" w:cs="Times New Roman"/>
          <w:b/>
          <w:sz w:val="24"/>
          <w:szCs w:val="24"/>
        </w:rPr>
      </w:pPr>
      <w:r w:rsidRPr="00AD5BB6">
        <w:rPr>
          <w:rFonts w:ascii="Times New Roman" w:hAnsi="Times New Roman" w:cs="Times New Roman"/>
          <w:b/>
          <w:sz w:val="24"/>
          <w:szCs w:val="24"/>
        </w:rPr>
        <w:t xml:space="preserve">Pályázó: ÉPKAR Zrt. </w:t>
      </w:r>
    </w:p>
    <w:p w:rsidR="00657428" w:rsidRPr="00AD5BB6" w:rsidRDefault="00657428" w:rsidP="00754F7D">
      <w:pPr>
        <w:spacing w:line="360" w:lineRule="auto"/>
        <w:ind w:left="426"/>
        <w:rPr>
          <w:rFonts w:ascii="Times New Roman" w:hAnsi="Times New Roman" w:cs="Times New Roman"/>
          <w:b/>
          <w:sz w:val="24"/>
          <w:szCs w:val="24"/>
        </w:rPr>
      </w:pPr>
      <w:r w:rsidRPr="00AD5BB6">
        <w:rPr>
          <w:rFonts w:ascii="Times New Roman" w:hAnsi="Times New Roman" w:cs="Times New Roman"/>
          <w:b/>
          <w:sz w:val="24"/>
          <w:szCs w:val="24"/>
        </w:rPr>
        <w:t>Beruházó: Törökbálint Város Önkormányzata</w:t>
      </w:r>
    </w:p>
    <w:p w:rsidR="00657428" w:rsidRPr="00AD5BB6" w:rsidRDefault="00657428" w:rsidP="00754F7D">
      <w:pPr>
        <w:spacing w:line="360" w:lineRule="auto"/>
        <w:ind w:left="426"/>
        <w:rPr>
          <w:rFonts w:ascii="Times New Roman" w:hAnsi="Times New Roman" w:cs="Times New Roman"/>
          <w:b/>
          <w:sz w:val="24"/>
          <w:szCs w:val="24"/>
        </w:rPr>
      </w:pPr>
      <w:r w:rsidRPr="00AD5BB6">
        <w:rPr>
          <w:rFonts w:ascii="Times New Roman" w:hAnsi="Times New Roman" w:cs="Times New Roman"/>
          <w:b/>
          <w:sz w:val="24"/>
          <w:szCs w:val="24"/>
        </w:rPr>
        <w:t>Tervező: MODULÁRT Kft.</w:t>
      </w:r>
    </w:p>
    <w:p w:rsidR="00657428" w:rsidRPr="00AD5BB6" w:rsidRDefault="00657428" w:rsidP="00754F7D">
      <w:pPr>
        <w:spacing w:line="360" w:lineRule="auto"/>
        <w:ind w:left="426"/>
        <w:rPr>
          <w:rFonts w:ascii="Times New Roman" w:hAnsi="Times New Roman" w:cs="Times New Roman"/>
          <w:b/>
          <w:sz w:val="24"/>
          <w:szCs w:val="24"/>
        </w:rPr>
      </w:pPr>
      <w:r w:rsidRPr="00AD5BB6">
        <w:rPr>
          <w:rFonts w:ascii="Times New Roman" w:hAnsi="Times New Roman" w:cs="Times New Roman"/>
          <w:b/>
          <w:sz w:val="24"/>
          <w:szCs w:val="24"/>
        </w:rPr>
        <w:t>Kivitelező: ÉPKAR Zrt.</w:t>
      </w:r>
      <w:r>
        <w:rPr>
          <w:rFonts w:ascii="Times New Roman" w:hAnsi="Times New Roman" w:cs="Times New Roman"/>
          <w:b/>
          <w:sz w:val="24"/>
          <w:szCs w:val="24"/>
        </w:rPr>
        <w:t xml:space="preserve"> – ZERON Zrt. Konzorcium</w:t>
      </w:r>
    </w:p>
    <w:p w:rsidR="00657428" w:rsidRPr="00AD5BB6" w:rsidRDefault="00657428" w:rsidP="00657428">
      <w:pPr>
        <w:ind w:left="426"/>
        <w:rPr>
          <w:rFonts w:ascii="Times New Roman" w:hAnsi="Times New Roman" w:cs="Times New Roman"/>
          <w:b/>
          <w:color w:val="FF0000"/>
          <w:sz w:val="24"/>
          <w:szCs w:val="24"/>
        </w:rPr>
      </w:pPr>
    </w:p>
    <w:p w:rsidR="00657428" w:rsidRPr="00AD5BB6" w:rsidRDefault="00657428" w:rsidP="00657428">
      <w:pPr>
        <w:rPr>
          <w:rFonts w:ascii="Times New Roman" w:hAnsi="Times New Roman" w:cs="Times New Roman"/>
          <w:sz w:val="24"/>
          <w:szCs w:val="24"/>
        </w:rPr>
      </w:pPr>
    </w:p>
    <w:p w:rsidR="00657428" w:rsidRDefault="00657428" w:rsidP="00657428">
      <w:pPr>
        <w:ind w:left="720"/>
        <w:rPr>
          <w:rFonts w:ascii="Times New Roman" w:hAnsi="Times New Roman" w:cs="Times New Roman"/>
          <w:b/>
          <w:sz w:val="24"/>
          <w:szCs w:val="24"/>
        </w:rPr>
      </w:pPr>
    </w:p>
    <w:p w:rsidR="00754F7D" w:rsidRPr="00AD5BB6" w:rsidRDefault="00754F7D" w:rsidP="00754F7D">
      <w:pPr>
        <w:rPr>
          <w:rFonts w:ascii="Times New Roman" w:hAnsi="Times New Roman" w:cs="Times New Roman"/>
          <w:sz w:val="24"/>
          <w:szCs w:val="24"/>
        </w:rPr>
      </w:pPr>
    </w:p>
    <w:p w:rsidR="00754F7D" w:rsidRDefault="00754F7D" w:rsidP="00754F7D">
      <w:pPr>
        <w:rPr>
          <w:rFonts w:ascii="Times New Roman" w:hAnsi="Times New Roman" w:cs="Times New Roman"/>
          <w:sz w:val="24"/>
          <w:szCs w:val="24"/>
        </w:rPr>
      </w:pPr>
      <w:r w:rsidRPr="00AD5BB6">
        <w:rPr>
          <w:rFonts w:ascii="Times New Roman" w:hAnsi="Times New Roman" w:cs="Times New Roman"/>
          <w:sz w:val="24"/>
          <w:szCs w:val="24"/>
        </w:rPr>
        <w:t xml:space="preserve"> </w:t>
      </w:r>
      <w:r w:rsidRPr="00AD5BB6">
        <w:rPr>
          <w:rFonts w:ascii="Times New Roman" w:hAnsi="Times New Roman" w:cs="Times New Roman"/>
          <w:b/>
          <w:sz w:val="24"/>
          <w:szCs w:val="24"/>
          <w:u w:val="single"/>
        </w:rPr>
        <w:t xml:space="preserve">Az </w:t>
      </w:r>
      <w:proofErr w:type="gramStart"/>
      <w:r w:rsidRPr="00AD5BB6">
        <w:rPr>
          <w:rFonts w:ascii="Times New Roman" w:hAnsi="Times New Roman" w:cs="Times New Roman"/>
          <w:b/>
          <w:sz w:val="24"/>
          <w:szCs w:val="24"/>
          <w:u w:val="single"/>
        </w:rPr>
        <w:t>ingatlanfejlesztés  koncepciója</w:t>
      </w:r>
      <w:proofErr w:type="gramEnd"/>
    </w:p>
    <w:p w:rsidR="00754F7D" w:rsidRDefault="00754F7D" w:rsidP="00754F7D">
      <w:pPr>
        <w:rPr>
          <w:rFonts w:ascii="Times New Roman" w:hAnsi="Times New Roman" w:cs="Times New Roman"/>
          <w:sz w:val="24"/>
          <w:szCs w:val="24"/>
        </w:rPr>
      </w:pPr>
    </w:p>
    <w:p w:rsidR="00754F7D" w:rsidRDefault="00754F7D" w:rsidP="00754F7D">
      <w:pPr>
        <w:spacing w:line="360" w:lineRule="auto"/>
        <w:rPr>
          <w:rFonts w:ascii="Times New Roman" w:hAnsi="Times New Roman" w:cs="Times New Roman"/>
          <w:sz w:val="24"/>
          <w:szCs w:val="24"/>
        </w:rPr>
      </w:pPr>
      <w:r>
        <w:rPr>
          <w:rFonts w:ascii="Times New Roman" w:hAnsi="Times New Roman" w:cs="Times New Roman"/>
          <w:sz w:val="24"/>
          <w:szCs w:val="24"/>
        </w:rPr>
        <w:t>A Városháza, mint intézmény egy olyan szellemi közösséget is jelent, mely egy élő, működő város hétköznapjainak színtere. A mai kornak megfelelő, modern</w:t>
      </w:r>
      <w:r w:rsidRPr="00F635AD">
        <w:rPr>
          <w:rFonts w:ascii="Times New Roman" w:hAnsi="Times New Roman" w:cs="Times New Roman"/>
          <w:sz w:val="24"/>
          <w:szCs w:val="24"/>
        </w:rPr>
        <w:t xml:space="preserve"> szolgáltató jellegű közigazgatás létrehozása érdekében</w:t>
      </w:r>
      <w:r>
        <w:rPr>
          <w:rFonts w:ascii="Times New Roman" w:hAnsi="Times New Roman" w:cs="Times New Roman"/>
          <w:sz w:val="24"/>
          <w:szCs w:val="24"/>
        </w:rPr>
        <w:t xml:space="preserve"> egy</w:t>
      </w:r>
      <w:r w:rsidRPr="00F635AD">
        <w:rPr>
          <w:rFonts w:ascii="Times New Roman" w:hAnsi="Times New Roman" w:cs="Times New Roman"/>
          <w:sz w:val="24"/>
          <w:szCs w:val="24"/>
        </w:rPr>
        <w:t xml:space="preserve"> </w:t>
      </w:r>
      <w:r>
        <w:rPr>
          <w:rFonts w:ascii="Times New Roman" w:hAnsi="Times New Roman" w:cs="Times New Roman"/>
          <w:sz w:val="24"/>
          <w:szCs w:val="24"/>
        </w:rPr>
        <w:t xml:space="preserve">emblematikus, főteret is létrehozó </w:t>
      </w:r>
      <w:r w:rsidRPr="00F635AD">
        <w:rPr>
          <w:rFonts w:ascii="Times New Roman" w:hAnsi="Times New Roman" w:cs="Times New Roman"/>
          <w:sz w:val="24"/>
          <w:szCs w:val="24"/>
        </w:rPr>
        <w:t xml:space="preserve">új városháza </w:t>
      </w:r>
      <w:r>
        <w:rPr>
          <w:rFonts w:ascii="Times New Roman" w:hAnsi="Times New Roman" w:cs="Times New Roman"/>
          <w:sz w:val="24"/>
          <w:szCs w:val="24"/>
        </w:rPr>
        <w:t xml:space="preserve">építése mellett döntött Törökbálint vezetése. A 2015-ben tervezési szakasszal kezdődött fejlesztés eredményeképp - a település kertvárosi jellegét megőrizve - kialakított hivatal épület átadása 2018 augusztusában történt. Az épület tömege illeszkedik a helyszín történeti beépítéseihez, az egykor a területén álló parasztházak közötti szűk térkapcsolatot idézi, annak modern átirata, ezáltal az egykori sváb település hagyományos karaktere újjáéledhetett. Az épület műszaki színvonalával és igényes megjelenésével emeli Törökbálint kialakuló új központjának színvonalát, magasra tett nívójával a leendő fejlesztéseknek jó példát mutat. A 2400 négyzetméteres épületben a Kormányablak mellett helyet kapott a Városgondnokság és a Magyar Posta kirendeltsége is. </w:t>
      </w:r>
    </w:p>
    <w:p w:rsidR="00B67DD3" w:rsidRDefault="00EF2D63"/>
    <w:sectPr w:rsidR="00B67DD3" w:rsidSect="00C363C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657428"/>
    <w:rsid w:val="0021351F"/>
    <w:rsid w:val="003C2811"/>
    <w:rsid w:val="00657428"/>
    <w:rsid w:val="00754F7D"/>
    <w:rsid w:val="00782006"/>
    <w:rsid w:val="009301E0"/>
    <w:rsid w:val="0097796B"/>
    <w:rsid w:val="00A4638E"/>
    <w:rsid w:val="00BE267A"/>
    <w:rsid w:val="00C363C0"/>
    <w:rsid w:val="00EF2D63"/>
    <w:rsid w:val="00F5272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428"/>
    <w:pPr>
      <w:spacing w:after="0" w:line="240" w:lineRule="auto"/>
      <w:jc w:val="both"/>
    </w:pPr>
    <w:rPr>
      <w:rFonts w:ascii="Arial Narrow" w:eastAsia="Calibri" w:hAnsi="Arial Narrow"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1215</Characters>
  <Application>Microsoft Office Word</Application>
  <DocSecurity>0</DocSecurity>
  <Lines>10</Lines>
  <Paragraphs>2</Paragraphs>
  <ScaleCrop>false</ScaleCrop>
  <Company/>
  <LinksUpToDate>false</LinksUpToDate>
  <CharactersWithSpaces>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h</cp:lastModifiedBy>
  <cp:revision>4</cp:revision>
  <dcterms:created xsi:type="dcterms:W3CDTF">2020-09-25T11:41:00Z</dcterms:created>
  <dcterms:modified xsi:type="dcterms:W3CDTF">2020-09-25T14:39:00Z</dcterms:modified>
</cp:coreProperties>
</file>